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160"/>
        <w:gridCol w:w="6172"/>
      </w:tblGrid>
      <w:tr w:rsidR="007F0B2F" w:rsidRPr="00151B14" w14:paraId="7C3DB65F" w14:textId="77777777" w:rsidTr="007E2BEA">
        <w:tc>
          <w:tcPr>
            <w:tcW w:w="2442" w:type="dxa"/>
            <w:shd w:val="clear" w:color="auto" w:fill="000000"/>
          </w:tcPr>
          <w:p w14:paraId="560B3FF2" w14:textId="77777777" w:rsidR="007F0B2F" w:rsidRPr="007F0B2F" w:rsidRDefault="007F0B2F" w:rsidP="007E2BEA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FFFFFF"/>
                <w:szCs w:val="22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en-US"/>
              </w:rPr>
              <w:t>Contract Situation</w:t>
            </w:r>
          </w:p>
        </w:tc>
        <w:tc>
          <w:tcPr>
            <w:tcW w:w="2160" w:type="dxa"/>
            <w:shd w:val="clear" w:color="auto" w:fill="000000"/>
          </w:tcPr>
          <w:p w14:paraId="08A0FA9D" w14:textId="77777777" w:rsidR="007F0B2F" w:rsidRPr="007F0B2F" w:rsidRDefault="007F0B2F" w:rsidP="007E2BEA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FFFFFF"/>
                <w:szCs w:val="22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en-US"/>
              </w:rPr>
              <w:t>Example</w:t>
            </w:r>
          </w:p>
        </w:tc>
        <w:tc>
          <w:tcPr>
            <w:tcW w:w="6172" w:type="dxa"/>
            <w:shd w:val="clear" w:color="auto" w:fill="000000"/>
          </w:tcPr>
          <w:p w14:paraId="22BB0864" w14:textId="77777777" w:rsidR="007F0B2F" w:rsidRPr="007F0B2F" w:rsidRDefault="007F0B2F" w:rsidP="007E2BEA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FFFFFF"/>
                <w:szCs w:val="22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en-US"/>
              </w:rPr>
              <w:t>COG Project Manager  Responsibilities</w:t>
            </w:r>
          </w:p>
        </w:tc>
      </w:tr>
      <w:tr w:rsidR="007F0B2F" w:rsidRPr="00151B14" w14:paraId="173C6086" w14:textId="77777777" w:rsidTr="007E2BEA">
        <w:tc>
          <w:tcPr>
            <w:tcW w:w="2442" w:type="dxa"/>
            <w:shd w:val="clear" w:color="auto" w:fill="auto"/>
          </w:tcPr>
          <w:p w14:paraId="668A56BE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Consultants</w:t>
            </w:r>
          </w:p>
          <w:p w14:paraId="642E9728" w14:textId="77777777" w:rsidR="007F0B2F" w:rsidRPr="007F0B2F" w:rsidRDefault="006449CF" w:rsidP="006449CF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449C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A consultant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6449C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is a professional who provides expert advice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6449C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in a 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articular area such as security, </w:t>
            </w:r>
            <w:r w:rsidRPr="006449C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management, education, accountancy,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law, human resources, marketing,</w:t>
            </w:r>
            <w:r w:rsidRPr="006449C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finance, engineering, science or any of many other specialized fields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6A69B517" w14:textId="77777777" w:rsidR="007F0B2F" w:rsidRPr="007F0B2F" w:rsidRDefault="007F0B2F" w:rsidP="007E2BE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14:paraId="74553235" w14:textId="77777777" w:rsidR="007F0B2F" w:rsidRPr="007F0B2F" w:rsidRDefault="007F0B2F" w:rsidP="007E2BE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Hired for professional services.</w:t>
            </w:r>
          </w:p>
        </w:tc>
        <w:tc>
          <w:tcPr>
            <w:tcW w:w="6172" w:type="dxa"/>
            <w:shd w:val="clear" w:color="auto" w:fill="auto"/>
          </w:tcPr>
          <w:p w14:paraId="037408F4" w14:textId="77777777" w:rsidR="007F0B2F" w:rsidRPr="007F0B2F" w:rsidRDefault="007F0B2F" w:rsidP="007F0B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Ensure work does not elevate the level of risk and all hazards are identified and communicated to the Consultant.  </w:t>
            </w:r>
          </w:p>
          <w:p w14:paraId="1588291F" w14:textId="77777777" w:rsidR="007F0B2F" w:rsidRPr="007F0B2F" w:rsidRDefault="007F0B2F" w:rsidP="007F0B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all necessary insurance is available and current.</w:t>
            </w:r>
          </w:p>
          <w:p w14:paraId="239E51BF" w14:textId="77777777" w:rsidR="00A724DE" w:rsidRDefault="00A724DE" w:rsidP="007F0B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consulting agreement has been executed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0BB2CACE" w14:textId="77777777" w:rsidR="00701601" w:rsidRDefault="00701601" w:rsidP="007F0B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Provide copies of any applicable </w:t>
            </w:r>
            <w:r w:rsidRP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City of Guelph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Corporate Policies as required by the scope of the work.</w:t>
            </w:r>
          </w:p>
          <w:p w14:paraId="651B0013" w14:textId="77777777" w:rsidR="00152EDE" w:rsidRDefault="00152EDE" w:rsidP="007F0B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Requires </w:t>
            </w:r>
            <w:r w:rsidR="009A60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 minimum of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$2, 000,000 in errors and omissions insurance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57DEBE6E" w14:textId="77777777" w:rsidR="007F0B2F" w:rsidRPr="00A724DE" w:rsidRDefault="009A60F1" w:rsidP="007E2BE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Requires a minimum of $5,000,000 in liability insurance w</w:t>
            </w:r>
            <w:r w:rsidR="00152E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here providing hands on train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ing in active operational areas.</w:t>
            </w:r>
          </w:p>
        </w:tc>
      </w:tr>
      <w:tr w:rsidR="007F0B2F" w:rsidRPr="00151B14" w14:paraId="11E32AFA" w14:textId="77777777" w:rsidTr="007E2BEA">
        <w:tc>
          <w:tcPr>
            <w:tcW w:w="2442" w:type="dxa"/>
            <w:shd w:val="clear" w:color="auto" w:fill="auto"/>
          </w:tcPr>
          <w:p w14:paraId="024FB100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Contractor</w:t>
            </w:r>
          </w:p>
          <w:p w14:paraId="464608F1" w14:textId="77777777" w:rsidR="007F0B2F" w:rsidRDefault="00187B36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  <w:r w:rsidR="006449CF" w:rsidRPr="006449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third party retained by the COG to provide Contracted Services</w:t>
            </w:r>
            <w:r w:rsidR="006449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07D1EB62" w14:textId="77777777" w:rsidR="00187B36" w:rsidRDefault="00187B36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B3FD350" w14:textId="77777777" w:rsidR="00187B36" w:rsidRDefault="00187B36" w:rsidP="007E2BE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87B3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Contracted Service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</w:p>
          <w:p w14:paraId="7A9A6D30" w14:textId="77777777" w:rsidR="006449CF" w:rsidRPr="007F0B2F" w:rsidRDefault="00187B36" w:rsidP="007E2B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</w:t>
            </w:r>
            <w:r w:rsidRPr="00187B3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eans any Construction, engineering or maintenance (replacement like for like) work for which the COG has signed an agreement or issued a purchase order with a Contractor.</w:t>
            </w:r>
          </w:p>
        </w:tc>
        <w:tc>
          <w:tcPr>
            <w:tcW w:w="2160" w:type="dxa"/>
            <w:shd w:val="clear" w:color="auto" w:fill="auto"/>
          </w:tcPr>
          <w:p w14:paraId="115BD56F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B17B4B5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Hired to perform service on behalf of the COG</w:t>
            </w:r>
          </w:p>
        </w:tc>
        <w:tc>
          <w:tcPr>
            <w:tcW w:w="6172" w:type="dxa"/>
            <w:shd w:val="clear" w:color="auto" w:fill="auto"/>
          </w:tcPr>
          <w:p w14:paraId="277C2BC4" w14:textId="77777777" w:rsidR="007F0B2F" w:rsidRDefault="007F0B2F" w:rsidP="0097156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Responsible for the health and safety of th</w:t>
            </w:r>
            <w:r w:rsidR="004E7DB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hired contract employees as though they are COG employees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61A7D7E4" w14:textId="77777777" w:rsidR="0097156C" w:rsidRPr="0097156C" w:rsidRDefault="0097156C" w:rsidP="0097156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Notify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contractors engaged in the work of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any know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Designated Substances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ensure completion of the Hazardous Materials Acknowledgement (</w:t>
            </w:r>
            <w:r w:rsidRPr="009715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7, Form 1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7F122FEC" w14:textId="77777777" w:rsidR="007F0B2F" w:rsidRPr="007F0B2F" w:rsidRDefault="00E031DB" w:rsidP="0097156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that Pre-Start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Hazard Assessment (</w:t>
            </w:r>
            <w:r w:rsidR="007F0B2F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Appendix </w:t>
            </w:r>
            <w:r w:rsidR="005F3AE6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and </w:t>
            </w:r>
            <w:r w:rsidR="0097156C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Contractor 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Health &amp; Safety </w:t>
            </w:r>
            <w:r w:rsidR="0097156C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Clearance 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Assessment 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7F0B2F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Appendix </w:t>
            </w:r>
            <w:r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7, Form 2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 are complete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prior to the start of work.</w:t>
            </w:r>
          </w:p>
          <w:p w14:paraId="77C578BA" w14:textId="77777777" w:rsidR="007F0B2F" w:rsidRPr="007F0B2F" w:rsidRDefault="007F0B2F" w:rsidP="0097156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Ensure 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 orientation is provided and all contractor workers have signed off on the Contractor Agreement and Understanding (</w:t>
            </w:r>
            <w:r w:rsidR="0097156C" w:rsidRPr="009715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7, Form 3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6DB56B7B" w14:textId="77777777" w:rsidR="007F0B2F" w:rsidRPr="007F0B2F" w:rsidRDefault="007F0B2F" w:rsidP="0097156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all necessary insurance is available and current.</w:t>
            </w:r>
          </w:p>
          <w:p w14:paraId="63E94DE2" w14:textId="77777777" w:rsidR="00152EDE" w:rsidRDefault="00152EDE" w:rsidP="0097156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Requires</w:t>
            </w:r>
            <w:r w:rsidR="009A60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 minimum of $5,000,000 in liability insurance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085DCF37" w14:textId="77777777" w:rsidR="004E7DB3" w:rsidRPr="00A724DE" w:rsidRDefault="00A724DE" w:rsidP="0097156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Depending on the work to be done, may require environmental insurance in th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 amount of at least $1,000,000.</w:t>
            </w:r>
          </w:p>
        </w:tc>
      </w:tr>
      <w:tr w:rsidR="007F0B2F" w:rsidRPr="00151B14" w14:paraId="63A60A50" w14:textId="77777777" w:rsidTr="007E2BEA">
        <w:tc>
          <w:tcPr>
            <w:tcW w:w="2442" w:type="dxa"/>
            <w:shd w:val="clear" w:color="auto" w:fill="auto"/>
          </w:tcPr>
          <w:p w14:paraId="52F482EC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External Employer</w:t>
            </w:r>
          </w:p>
          <w:p w14:paraId="094F8A3A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879D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Employees of a company who are not contracted by the COG but may be working in close proximity to COG employees and/or on the COG worksite</w:t>
            </w:r>
          </w:p>
        </w:tc>
        <w:tc>
          <w:tcPr>
            <w:tcW w:w="2160" w:type="dxa"/>
            <w:shd w:val="clear" w:color="auto" w:fill="auto"/>
          </w:tcPr>
          <w:p w14:paraId="4B769B87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0395652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Enbridge digs close to a broken water main repair.</w:t>
            </w:r>
          </w:p>
        </w:tc>
        <w:tc>
          <w:tcPr>
            <w:tcW w:w="6172" w:type="dxa"/>
            <w:shd w:val="clear" w:color="auto" w:fill="auto"/>
          </w:tcPr>
          <w:p w14:paraId="52B15E2E" w14:textId="77777777" w:rsidR="007F0B2F" w:rsidRPr="007F0B2F" w:rsidRDefault="007F0B2F" w:rsidP="007F0B2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Supervisors of COG employees working in close proximity to another employer must ensure that safety between the two parties is maintained.  </w:t>
            </w:r>
          </w:p>
          <w:p w14:paraId="7976F51B" w14:textId="77777777" w:rsidR="007F0B2F" w:rsidRPr="007F0B2F" w:rsidRDefault="007F0B2F" w:rsidP="007F0B2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hazardous situations must be brought to the attention of the company working in close proximity</w:t>
            </w:r>
            <w:r w:rsidR="00E879D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all reasonable precautions are taken for the protection of the employees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7F0B2F" w:rsidRPr="00151B14" w14:paraId="50824DBF" w14:textId="77777777" w:rsidTr="007E2BEA">
        <w:tc>
          <w:tcPr>
            <w:tcW w:w="2442" w:type="dxa"/>
            <w:shd w:val="clear" w:color="auto" w:fill="auto"/>
          </w:tcPr>
          <w:p w14:paraId="73E6827D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Subcontractor</w:t>
            </w:r>
          </w:p>
          <w:p w14:paraId="6D28F709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 third party Contractor is hired by the COG initial Contractor to perform work </w:t>
            </w:r>
            <w:r w:rsidR="00DD32C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 a City of Guelph worksite or facility.</w:t>
            </w:r>
          </w:p>
          <w:p w14:paraId="5799F766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48B4E9E2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F7D572B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COG hires a Contractor to perform service and/or complete a project and in turn the Contractor hires another Contractor to complete or assist with the work.</w:t>
            </w:r>
          </w:p>
          <w:p w14:paraId="6686052E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72" w:type="dxa"/>
            <w:shd w:val="clear" w:color="auto" w:fill="auto"/>
          </w:tcPr>
          <w:p w14:paraId="3E819984" w14:textId="77777777" w:rsidR="007F0B2F" w:rsidRPr="007F0B2F" w:rsidRDefault="007F0B2F" w:rsidP="009A60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If COG is the Constructor of a construction proj</w:t>
            </w:r>
            <w:r w:rsidR="002275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ect they must ensure all required Forms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r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Appendix </w:t>
            </w:r>
            <w:r w:rsidR="00E031DB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7, Form </w:t>
            </w:r>
            <w:r w:rsid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1-</w:t>
            </w:r>
            <w:r w:rsidR="00E031DB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  <w:r w:rsidR="002275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 are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eceived from every contractor engaged in the work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0CEB34B3" w14:textId="77777777" w:rsidR="007F0B2F" w:rsidRPr="007F0B2F" w:rsidRDefault="007F0B2F" w:rsidP="009A60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Names of the Subcontractors must be given to the COG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by the initial contractor.</w:t>
            </w:r>
          </w:p>
          <w:p w14:paraId="36515F0A" w14:textId="77777777" w:rsidR="007F0B2F" w:rsidRPr="007F0B2F" w:rsidRDefault="007F0B2F" w:rsidP="009A60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The COG may be responsible for the health and safety of those hired contracted employees as though they are COG employees </w:t>
            </w:r>
          </w:p>
          <w:p w14:paraId="6AB7DC52" w14:textId="77777777" w:rsidR="007F0B2F" w:rsidRPr="007F0B2F" w:rsidRDefault="007F0B2F" w:rsidP="009A60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they are aware of the COG requirements and all required information has been supplied.</w:t>
            </w:r>
          </w:p>
          <w:p w14:paraId="2A8C1FE4" w14:textId="77777777" w:rsidR="007F0B2F" w:rsidRPr="00E879D3" w:rsidRDefault="007F0B2F" w:rsidP="009A60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all necessary insurance is available and current.</w:t>
            </w:r>
          </w:p>
          <w:p w14:paraId="5CB02918" w14:textId="77777777" w:rsidR="00E879D3" w:rsidRPr="00886A09" w:rsidRDefault="00E879D3" w:rsidP="009A60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886A0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the subcontractor receives a copy of</w:t>
            </w:r>
            <w:r w:rsidR="002275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the Project Hazard Assessment (</w:t>
            </w:r>
            <w:r w:rsidR="00227536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6</w:t>
            </w:r>
            <w:r w:rsidR="002275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  <w:p w14:paraId="6D25718E" w14:textId="77777777" w:rsidR="007F0B2F" w:rsidRPr="00A724DE" w:rsidRDefault="009A60F1" w:rsidP="007E2BE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Requires a minimum of $5,000,000 in liability insurance</w:t>
            </w:r>
          </w:p>
        </w:tc>
      </w:tr>
      <w:tr w:rsidR="007F0B2F" w:rsidRPr="00151B14" w14:paraId="787E237C" w14:textId="77777777" w:rsidTr="007B544A">
        <w:trPr>
          <w:trHeight w:val="575"/>
        </w:trPr>
        <w:tc>
          <w:tcPr>
            <w:tcW w:w="2442" w:type="dxa"/>
            <w:shd w:val="clear" w:color="auto" w:fill="auto"/>
          </w:tcPr>
          <w:p w14:paraId="31ED674A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General Contractor (GC) hired as Constructor</w:t>
            </w:r>
          </w:p>
          <w:p w14:paraId="7BA03F9F" w14:textId="77777777" w:rsidR="007F0B2F" w:rsidRPr="007F0B2F" w:rsidRDefault="00227536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For construction projects only (as defined by s.6 of </w:t>
            </w:r>
            <w:hyperlink r:id="rId7" w:history="1">
              <w:r w:rsidRPr="00227536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US"/>
                </w:rPr>
                <w:t>O. Reg 213/91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  <w:p w14:paraId="4DB5AA60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4D560934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8ABF20B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 Constructor hired to build a building expansion.</w:t>
            </w:r>
          </w:p>
        </w:tc>
        <w:tc>
          <w:tcPr>
            <w:tcW w:w="6172" w:type="dxa"/>
            <w:shd w:val="clear" w:color="auto" w:fill="auto"/>
          </w:tcPr>
          <w:p w14:paraId="77718E3F" w14:textId="77777777" w:rsidR="007F0B2F" w:rsidRDefault="007F0B2F" w:rsidP="00B97E7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Constructor has a valid WSIB clearance certificate.</w:t>
            </w:r>
          </w:p>
          <w:p w14:paraId="5A6B09A3" w14:textId="77777777" w:rsidR="007F0B2F" w:rsidRPr="007F0B2F" w:rsidRDefault="007F0B2F" w:rsidP="00B97E7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Ensure a Constructor has been designated in writing </w:t>
            </w:r>
            <w:r w:rsidR="005F3AE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5F3AE6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Appendix </w:t>
            </w:r>
            <w:r w:rsidR="00E031DB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5F3AE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Construction Project Form) 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and the Constructor has identified a Workplace Safety Specialist.</w:t>
            </w:r>
          </w:p>
          <w:p w14:paraId="575D8AB4" w14:textId="77777777" w:rsidR="007F0B2F" w:rsidRDefault="007F0B2F" w:rsidP="00B97E7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Notify the General Contractor of any know Designated Substances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ensure completion of the Hazardous Materials Acknowledgement (</w:t>
            </w:r>
            <w:r w:rsidR="0097156C" w:rsidRPr="009715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7, Form 1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3A9F0916" w14:textId="77777777" w:rsidR="00B97E76" w:rsidRPr="00B97E76" w:rsidRDefault="00B97E76" w:rsidP="00B97E7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that Pre-Start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Hazard Assessment (</w:t>
            </w:r>
            <w:r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6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and Contractor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Health &amp; Safety 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Clearance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Assessment 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7, Form 2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 are complete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prior to the start of work.</w:t>
            </w:r>
          </w:p>
          <w:p w14:paraId="022C67D7" w14:textId="77777777" w:rsidR="007F0B2F" w:rsidRPr="007F0B2F" w:rsidRDefault="00227536" w:rsidP="00B97E7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Provide the GC with the COG 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Form 1000 (</w:t>
            </w:r>
            <w:r w:rsidR="007F0B2F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Appendix </w:t>
            </w:r>
            <w:r w:rsidR="005F3AE6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7, Form </w:t>
            </w:r>
            <w:r w:rsidR="00E031DB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7C984438" w14:textId="01E7AB88" w:rsidR="007F0B2F" w:rsidRPr="0097156C" w:rsidRDefault="007F0B2F" w:rsidP="00B97E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the GC has submitted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 Notice of Project to the MOL</w:t>
            </w:r>
            <w:r w:rsidR="00D966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(if required under s.6 of O. Reg 213/91)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7F0B2F" w:rsidRPr="00151B14" w14:paraId="189E8CB6" w14:textId="77777777" w:rsidTr="007F0B2F">
        <w:trPr>
          <w:trHeight w:val="1840"/>
        </w:trPr>
        <w:tc>
          <w:tcPr>
            <w:tcW w:w="2442" w:type="dxa"/>
            <w:shd w:val="clear" w:color="auto" w:fill="auto"/>
          </w:tcPr>
          <w:p w14:paraId="1A2448A8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lastRenderedPageBreak/>
              <w:t>General Contractor – COG is the designated Constructor.</w:t>
            </w:r>
          </w:p>
          <w:p w14:paraId="7D040B33" w14:textId="77777777" w:rsidR="0097156C" w:rsidRPr="007F0B2F" w:rsidRDefault="0097156C" w:rsidP="0097156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For construction projects only (as defined by s.6 of </w:t>
            </w:r>
            <w:hyperlink r:id="rId8" w:history="1">
              <w:r w:rsidRPr="00227536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US"/>
                </w:rPr>
                <w:t>O. Reg 213/91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  <w:p w14:paraId="1F2EB03F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D2C1928" w14:textId="77777777" w:rsidR="007F0B2F" w:rsidRPr="007F0B2F" w:rsidRDefault="007F0B2F" w:rsidP="007E2BE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7FCDFD2D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1C76ABE6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FAD5679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 electrical Contractor, floor installer and a window glazing company have all been contracted by the COG to build an extension of a building with no designated Constructor assigned.</w:t>
            </w:r>
          </w:p>
          <w:p w14:paraId="07DB111D" w14:textId="77777777" w:rsidR="007F0B2F" w:rsidRPr="007F0B2F" w:rsidRDefault="007F0B2F" w:rsidP="007E2BE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172" w:type="dxa"/>
            <w:shd w:val="clear" w:color="auto" w:fill="auto"/>
          </w:tcPr>
          <w:p w14:paraId="7A2C3F00" w14:textId="77777777" w:rsidR="007F0B2F" w:rsidRPr="007F0B2F" w:rsidRDefault="007F0B2F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Determine who will be responsible 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 coordinating project safety.</w:t>
            </w:r>
          </w:p>
          <w:p w14:paraId="0E79EF6B" w14:textId="77777777" w:rsidR="007F0B2F" w:rsidRPr="007F0B2F" w:rsidRDefault="007F0B2F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Ensure all </w:t>
            </w:r>
            <w:r w:rsidR="002275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Subc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ontractors prov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ide WSIB Clearance Certificates.</w:t>
            </w:r>
          </w:p>
          <w:p w14:paraId="76E29EA1" w14:textId="77777777" w:rsidR="007F0B2F" w:rsidRPr="007F0B2F" w:rsidRDefault="007F0B2F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Send the Notice of Project to the Ministry of Labour.</w:t>
            </w:r>
          </w:p>
          <w:p w14:paraId="6EEC809E" w14:textId="77777777" w:rsidR="007F0B2F" w:rsidRDefault="007F0B2F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Ensure compliance with the OHSA and Regulations.  </w:t>
            </w:r>
          </w:p>
          <w:p w14:paraId="020F309A" w14:textId="77777777" w:rsidR="0097156C" w:rsidRPr="007F0B2F" w:rsidRDefault="0097156C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completion of the Construction Project Form (</w:t>
            </w:r>
            <w:r w:rsidRPr="009715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5</w:t>
            </w:r>
            <w:r w:rsidRP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1BC83986" w14:textId="77777777" w:rsidR="0097156C" w:rsidRDefault="00E031DB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that Pre-Start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Hazard Assessment Form (</w:t>
            </w:r>
            <w:r w:rsidR="007F0B2F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Appendix </w:t>
            </w:r>
            <w:r w:rsidR="005F3AE6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9715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is completed and provided to all contractors engaged in the work.</w:t>
            </w:r>
          </w:p>
          <w:p w14:paraId="6B537849" w14:textId="77777777" w:rsidR="0097156C" w:rsidRPr="0097156C" w:rsidRDefault="0097156C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Notify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contractors engaged in the work of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any know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Designated Substances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ensure completion of the Hazardous Materials Acknowledgement (</w:t>
            </w:r>
            <w:r w:rsidRPr="009715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Appendix 7, Form 1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7C3A789C" w14:textId="77777777" w:rsidR="007F0B2F" w:rsidRPr="007F0B2F" w:rsidRDefault="0097156C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Ensure </w:t>
            </w:r>
            <w:r w:rsidR="002275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Contractor Safety documents</w:t>
            </w:r>
            <w:r w:rsidR="007F0B2F" w:rsidRPr="007F0B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r w:rsidR="007F0B2F" w:rsidRP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Appendix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7, Form 2</w:t>
            </w:r>
            <w:r w:rsidR="002275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-4</w:t>
            </w:r>
            <w:r w:rsidR="002275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 are completed by any and all contractors engaged in the work.</w:t>
            </w:r>
          </w:p>
          <w:p w14:paraId="6A31EEAF" w14:textId="77777777" w:rsidR="009A60F1" w:rsidRPr="00A724DE" w:rsidRDefault="009A60F1" w:rsidP="0097156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Requires a minimum of $5,000,000 in liability insurance</w:t>
            </w:r>
            <w:r w:rsidR="007016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</w:tbl>
    <w:p w14:paraId="1588F37E" w14:textId="77777777" w:rsidR="000301CE" w:rsidRDefault="000301CE" w:rsidP="007F0B2F"/>
    <w:p w14:paraId="41F1E64A" w14:textId="77777777" w:rsidR="00463F64" w:rsidRPr="00A812A3" w:rsidRDefault="00463F64" w:rsidP="007F0B2F">
      <w:pPr>
        <w:rPr>
          <w:rFonts w:ascii="Verdana" w:hAnsi="Verdana" w:cstheme="minorHAnsi"/>
          <w:sz w:val="22"/>
          <w:szCs w:val="22"/>
        </w:rPr>
      </w:pPr>
      <w:r w:rsidRPr="00A812A3">
        <w:rPr>
          <w:rFonts w:ascii="Verdana" w:hAnsi="Verdana" w:cstheme="minorHAnsi"/>
          <w:sz w:val="22"/>
          <w:szCs w:val="22"/>
        </w:rPr>
        <w:t>Documents must be updated in accordance with the schedule below:</w:t>
      </w:r>
    </w:p>
    <w:p w14:paraId="781C8397" w14:textId="77777777" w:rsidR="005E543E" w:rsidRPr="00A812A3" w:rsidRDefault="005E543E" w:rsidP="007F0B2F">
      <w:pPr>
        <w:rPr>
          <w:rFonts w:ascii="Verdana" w:hAnsi="Verdana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A812A3" w:rsidRPr="00A812A3" w14:paraId="669A7A56" w14:textId="77777777" w:rsidTr="00A812A3">
        <w:tc>
          <w:tcPr>
            <w:tcW w:w="3085" w:type="dxa"/>
          </w:tcPr>
          <w:p w14:paraId="78F12878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b/>
                <w:szCs w:val="22"/>
              </w:rPr>
              <w:t>Appendix 7, Form 1</w:t>
            </w:r>
          </w:p>
        </w:tc>
        <w:tc>
          <w:tcPr>
            <w:tcW w:w="6491" w:type="dxa"/>
          </w:tcPr>
          <w:p w14:paraId="56AA8418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szCs w:val="22"/>
              </w:rPr>
              <w:t>As required if there is a designated substance survey on file for the location of the work.</w:t>
            </w:r>
          </w:p>
        </w:tc>
      </w:tr>
      <w:tr w:rsidR="00A812A3" w:rsidRPr="00A812A3" w14:paraId="19E0A9ED" w14:textId="77777777" w:rsidTr="00A812A3">
        <w:tc>
          <w:tcPr>
            <w:tcW w:w="3085" w:type="dxa"/>
          </w:tcPr>
          <w:p w14:paraId="4F542B7A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b/>
                <w:szCs w:val="22"/>
              </w:rPr>
              <w:t>Appendix 7, Form 2</w:t>
            </w:r>
          </w:p>
        </w:tc>
        <w:tc>
          <w:tcPr>
            <w:tcW w:w="6491" w:type="dxa"/>
          </w:tcPr>
          <w:p w14:paraId="6B14D949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szCs w:val="22"/>
              </w:rPr>
              <w:t>Every two years. This can be extended to every three years for COR Certified companies.</w:t>
            </w:r>
          </w:p>
        </w:tc>
      </w:tr>
      <w:tr w:rsidR="00A812A3" w:rsidRPr="00A812A3" w14:paraId="4DEC64FD" w14:textId="77777777" w:rsidTr="00A812A3">
        <w:tc>
          <w:tcPr>
            <w:tcW w:w="3085" w:type="dxa"/>
          </w:tcPr>
          <w:p w14:paraId="5AE3ABDC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b/>
                <w:szCs w:val="22"/>
              </w:rPr>
              <w:t>Appendix 7, Form 3</w:t>
            </w:r>
          </w:p>
        </w:tc>
        <w:tc>
          <w:tcPr>
            <w:tcW w:w="6491" w:type="dxa"/>
          </w:tcPr>
          <w:p w14:paraId="6B44EAB0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szCs w:val="22"/>
              </w:rPr>
              <w:t>Every two years, as required, as organizational changes occur. This can be extended to every three years for COR Certified companies.</w:t>
            </w:r>
          </w:p>
        </w:tc>
      </w:tr>
      <w:tr w:rsidR="00A812A3" w:rsidRPr="00A812A3" w14:paraId="07BD97E7" w14:textId="77777777" w:rsidTr="00A812A3">
        <w:tc>
          <w:tcPr>
            <w:tcW w:w="3085" w:type="dxa"/>
          </w:tcPr>
          <w:p w14:paraId="00EB0BEA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b/>
                <w:szCs w:val="22"/>
              </w:rPr>
              <w:t>Certificate of Insurance</w:t>
            </w:r>
          </w:p>
        </w:tc>
        <w:tc>
          <w:tcPr>
            <w:tcW w:w="6491" w:type="dxa"/>
          </w:tcPr>
          <w:p w14:paraId="5434C6DB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szCs w:val="22"/>
              </w:rPr>
              <w:t>Annually.</w:t>
            </w:r>
          </w:p>
        </w:tc>
      </w:tr>
      <w:tr w:rsidR="00A812A3" w:rsidRPr="00A812A3" w14:paraId="79E9EFCE" w14:textId="77777777" w:rsidTr="00A812A3">
        <w:tc>
          <w:tcPr>
            <w:tcW w:w="3085" w:type="dxa"/>
          </w:tcPr>
          <w:p w14:paraId="0F793DC8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b/>
                <w:szCs w:val="22"/>
              </w:rPr>
              <w:t>WSIB Clearance Certificate</w:t>
            </w:r>
          </w:p>
        </w:tc>
        <w:tc>
          <w:tcPr>
            <w:tcW w:w="6491" w:type="dxa"/>
          </w:tcPr>
          <w:p w14:paraId="3943D25C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szCs w:val="22"/>
              </w:rPr>
              <w:t>Every 90 days, unless a copy has been entered into the City’s eClearance account.</w:t>
            </w:r>
          </w:p>
        </w:tc>
      </w:tr>
      <w:tr w:rsidR="00A812A3" w:rsidRPr="00A812A3" w14:paraId="1B76DCCE" w14:textId="77777777" w:rsidTr="00A812A3">
        <w:tc>
          <w:tcPr>
            <w:tcW w:w="3085" w:type="dxa"/>
          </w:tcPr>
          <w:p w14:paraId="1EA1B09E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b/>
                <w:szCs w:val="22"/>
              </w:rPr>
              <w:t>Proof of COR Certification</w:t>
            </w:r>
          </w:p>
        </w:tc>
        <w:tc>
          <w:tcPr>
            <w:tcW w:w="6491" w:type="dxa"/>
          </w:tcPr>
          <w:p w14:paraId="3C015DC3" w14:textId="77777777" w:rsidR="00A812A3" w:rsidRPr="00A812A3" w:rsidRDefault="00A812A3" w:rsidP="00A812A3">
            <w:pPr>
              <w:rPr>
                <w:rFonts w:ascii="Verdana" w:hAnsi="Verdana" w:cstheme="minorHAnsi"/>
                <w:szCs w:val="22"/>
              </w:rPr>
            </w:pPr>
            <w:r w:rsidRPr="00A812A3">
              <w:rPr>
                <w:rFonts w:ascii="Verdana" w:hAnsi="Verdana" w:cstheme="minorHAnsi"/>
                <w:szCs w:val="22"/>
              </w:rPr>
              <w:t>Upon expiry.</w:t>
            </w:r>
          </w:p>
        </w:tc>
      </w:tr>
    </w:tbl>
    <w:p w14:paraId="3A0191F2" w14:textId="77777777" w:rsidR="00A812A3" w:rsidRPr="00A812A3" w:rsidRDefault="00A812A3" w:rsidP="007F0B2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E543E" w:rsidRPr="00A812A3" w14:paraId="5EED4849" w14:textId="77777777" w:rsidTr="005E543E">
        <w:tc>
          <w:tcPr>
            <w:tcW w:w="2718" w:type="dxa"/>
          </w:tcPr>
          <w:p w14:paraId="6948B2D9" w14:textId="77777777" w:rsidR="005E543E" w:rsidRPr="00A812A3" w:rsidRDefault="005E543E" w:rsidP="007F0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14:paraId="2502290B" w14:textId="77777777" w:rsidR="005E543E" w:rsidRPr="00A812A3" w:rsidRDefault="005E543E" w:rsidP="007F0B2F">
            <w:pPr>
              <w:rPr>
                <w:rFonts w:asciiTheme="minorHAnsi" w:hAnsiTheme="minorHAnsi" w:cstheme="minorHAnsi"/>
              </w:rPr>
            </w:pPr>
          </w:p>
        </w:tc>
      </w:tr>
      <w:tr w:rsidR="005E543E" w:rsidRPr="00A812A3" w14:paraId="63660686" w14:textId="77777777" w:rsidTr="005E543E">
        <w:tc>
          <w:tcPr>
            <w:tcW w:w="2718" w:type="dxa"/>
          </w:tcPr>
          <w:p w14:paraId="4FFB08B0" w14:textId="77777777" w:rsidR="005E543E" w:rsidRPr="00A812A3" w:rsidRDefault="005E543E" w:rsidP="007F0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58" w:type="dxa"/>
          </w:tcPr>
          <w:p w14:paraId="6C891E8D" w14:textId="77777777" w:rsidR="005E543E" w:rsidRPr="00A812A3" w:rsidRDefault="005E543E" w:rsidP="007F0B2F">
            <w:pPr>
              <w:rPr>
                <w:rFonts w:asciiTheme="minorHAnsi" w:hAnsiTheme="minorHAnsi" w:cstheme="minorHAnsi"/>
              </w:rPr>
            </w:pPr>
          </w:p>
        </w:tc>
      </w:tr>
      <w:tr w:rsidR="005E543E" w:rsidRPr="00A812A3" w14:paraId="7E82302F" w14:textId="77777777" w:rsidTr="005E543E">
        <w:tc>
          <w:tcPr>
            <w:tcW w:w="2718" w:type="dxa"/>
          </w:tcPr>
          <w:p w14:paraId="5C1533E5" w14:textId="77777777" w:rsidR="005E543E" w:rsidRPr="00A812A3" w:rsidRDefault="005E543E" w:rsidP="007F0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58" w:type="dxa"/>
          </w:tcPr>
          <w:p w14:paraId="3474C3A4" w14:textId="77777777" w:rsidR="005E543E" w:rsidRPr="00A812A3" w:rsidRDefault="005E543E" w:rsidP="005E543E">
            <w:pPr>
              <w:rPr>
                <w:rFonts w:asciiTheme="minorHAnsi" w:hAnsiTheme="minorHAnsi" w:cstheme="minorHAnsi"/>
              </w:rPr>
            </w:pPr>
          </w:p>
        </w:tc>
      </w:tr>
      <w:tr w:rsidR="005E543E" w:rsidRPr="00A812A3" w14:paraId="01E092F2" w14:textId="77777777" w:rsidTr="005E543E">
        <w:tc>
          <w:tcPr>
            <w:tcW w:w="2718" w:type="dxa"/>
          </w:tcPr>
          <w:p w14:paraId="637F7176" w14:textId="77777777" w:rsidR="005E543E" w:rsidRPr="00A812A3" w:rsidRDefault="005E543E" w:rsidP="007F0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58" w:type="dxa"/>
          </w:tcPr>
          <w:p w14:paraId="2B309568" w14:textId="77777777" w:rsidR="005E543E" w:rsidRPr="00A812A3" w:rsidRDefault="005E543E" w:rsidP="005E543E">
            <w:pPr>
              <w:rPr>
                <w:rFonts w:asciiTheme="minorHAnsi" w:hAnsiTheme="minorHAnsi" w:cstheme="minorHAnsi"/>
              </w:rPr>
            </w:pPr>
          </w:p>
        </w:tc>
      </w:tr>
      <w:tr w:rsidR="005E543E" w:rsidRPr="00A812A3" w14:paraId="5DD713FE" w14:textId="77777777" w:rsidTr="005E543E">
        <w:tc>
          <w:tcPr>
            <w:tcW w:w="2718" w:type="dxa"/>
          </w:tcPr>
          <w:p w14:paraId="1F72116D" w14:textId="77777777" w:rsidR="005E543E" w:rsidRPr="00A812A3" w:rsidRDefault="005E543E" w:rsidP="007F0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58" w:type="dxa"/>
          </w:tcPr>
          <w:p w14:paraId="76134F53" w14:textId="77777777" w:rsidR="005E543E" w:rsidRPr="00A812A3" w:rsidRDefault="005E543E" w:rsidP="005E543E">
            <w:pPr>
              <w:rPr>
                <w:rFonts w:asciiTheme="minorHAnsi" w:hAnsiTheme="minorHAnsi" w:cstheme="minorHAnsi"/>
              </w:rPr>
            </w:pPr>
          </w:p>
        </w:tc>
      </w:tr>
      <w:tr w:rsidR="005E543E" w14:paraId="5F719E97" w14:textId="77777777" w:rsidTr="005E543E">
        <w:tc>
          <w:tcPr>
            <w:tcW w:w="2718" w:type="dxa"/>
          </w:tcPr>
          <w:p w14:paraId="1F26E665" w14:textId="77777777" w:rsidR="005E543E" w:rsidRPr="00A812A3" w:rsidRDefault="005E543E" w:rsidP="007F0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58" w:type="dxa"/>
          </w:tcPr>
          <w:p w14:paraId="3261727B" w14:textId="77777777" w:rsidR="005E543E" w:rsidRPr="005E543E" w:rsidRDefault="005E543E" w:rsidP="005E543E">
            <w:pPr>
              <w:rPr>
                <w:rFonts w:asciiTheme="minorHAnsi" w:hAnsiTheme="minorHAnsi" w:cstheme="minorHAnsi"/>
              </w:rPr>
            </w:pPr>
          </w:p>
        </w:tc>
      </w:tr>
    </w:tbl>
    <w:p w14:paraId="24DDF2C1" w14:textId="77777777" w:rsidR="005E543E" w:rsidRDefault="005E543E" w:rsidP="007F0B2F">
      <w:pPr>
        <w:rPr>
          <w:rFonts w:asciiTheme="minorHAnsi" w:hAnsiTheme="minorHAnsi" w:cstheme="minorHAnsi"/>
        </w:rPr>
      </w:pPr>
    </w:p>
    <w:p w14:paraId="71B69F2A" w14:textId="77777777" w:rsidR="00463F64" w:rsidRPr="005E543E" w:rsidRDefault="00463F64" w:rsidP="005E543E">
      <w:pPr>
        <w:rPr>
          <w:rFonts w:asciiTheme="minorHAnsi" w:hAnsiTheme="minorHAnsi" w:cstheme="minorHAnsi"/>
        </w:rPr>
      </w:pPr>
    </w:p>
    <w:sectPr w:rsidR="00463F64" w:rsidRPr="005E543E" w:rsidSect="00FB4F2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A1F43" w14:textId="77777777" w:rsidR="00847455" w:rsidRDefault="00847455" w:rsidP="0075058F">
      <w:r>
        <w:separator/>
      </w:r>
    </w:p>
  </w:endnote>
  <w:endnote w:type="continuationSeparator" w:id="0">
    <w:p w14:paraId="7F4E1F75" w14:textId="77777777" w:rsidR="00847455" w:rsidRDefault="00847455" w:rsidP="0075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2182" w14:textId="77777777" w:rsidR="006B02B3" w:rsidRPr="006B02B3" w:rsidRDefault="00D966B1" w:rsidP="006B02B3">
    <w:pPr>
      <w:pStyle w:val="Footer"/>
      <w:tabs>
        <w:tab w:val="clear" w:pos="9360"/>
        <w:tab w:val="right" w:pos="10773"/>
      </w:tabs>
      <w:ind w:left="-426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noProof/>
        <w:lang w:eastAsia="en-CA"/>
      </w:rPr>
      <w:pict w14:anchorId="13F9B43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4" type="#_x0000_t32" style="position:absolute;left:0;text-align:left;margin-left:-25.1pt;margin-top:-9.7pt;width:54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LdD5bgH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"/>
      </w:pict>
    </w:r>
    <w:r>
      <w:rPr>
        <w:rFonts w:asciiTheme="minorHAnsi" w:hAnsiTheme="minorHAnsi" w:cstheme="minorHAnsi"/>
        <w:b/>
        <w:noProof/>
        <w:lang w:eastAsia="en-CA"/>
      </w:rPr>
      <w:pict w14:anchorId="6D82BA21">
        <v:shape id="AutoShape 1" o:spid="_x0000_s18433" type="#_x0000_t32" style="position:absolute;left:0;text-align:left;margin-left:-11.9pt;margin-top:-9.7pt;width:52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H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WyePUw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"/>
      </w:pict>
    </w:r>
    <w:r w:rsidR="006B02B3" w:rsidRPr="006B02B3">
      <w:rPr>
        <w:rFonts w:asciiTheme="minorHAnsi" w:hAnsiTheme="minorHAnsi" w:cstheme="minorHAnsi"/>
        <w:b/>
      </w:rPr>
      <w:t xml:space="preserve">Corporate Contractor Safety Program </w:t>
    </w:r>
    <w:r w:rsidR="006B02B3">
      <w:rPr>
        <w:rFonts w:asciiTheme="minorHAnsi" w:hAnsiTheme="minorHAnsi" w:cstheme="minorHAnsi"/>
      </w:rPr>
      <w:tab/>
      <w:t xml:space="preserve">                                                                                         </w:t>
    </w:r>
    <w:r w:rsidR="00EB49D3">
      <w:rPr>
        <w:rFonts w:asciiTheme="minorHAnsi" w:hAnsiTheme="minorHAnsi" w:cstheme="minorHAnsi"/>
        <w:b/>
      </w:rPr>
      <w:t>Appendix 4</w:t>
    </w:r>
  </w:p>
  <w:p w14:paraId="692641CE" w14:textId="77777777" w:rsidR="006B02B3" w:rsidRDefault="006B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1249" w14:textId="77777777" w:rsidR="00847455" w:rsidRDefault="00847455" w:rsidP="0075058F">
      <w:r>
        <w:separator/>
      </w:r>
    </w:p>
  </w:footnote>
  <w:footnote w:type="continuationSeparator" w:id="0">
    <w:p w14:paraId="5B90DDB0" w14:textId="77777777" w:rsidR="00847455" w:rsidRDefault="00847455" w:rsidP="0075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E3F" w14:textId="77777777" w:rsidR="000C0A28" w:rsidRDefault="000C0A28" w:rsidP="000C0A28">
    <w:pPr>
      <w:rPr>
        <w:rFonts w:ascii="Tahoma" w:hAnsi="Tahoma"/>
        <w:b/>
        <w:smallCaps/>
      </w:rPr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0" wp14:anchorId="785D21EE" wp14:editId="27EB9682">
          <wp:simplePos x="0" y="0"/>
          <wp:positionH relativeFrom="column">
            <wp:posOffset>2013585</wp:posOffset>
          </wp:positionH>
          <wp:positionV relativeFrom="paragraph">
            <wp:posOffset>116840</wp:posOffset>
          </wp:positionV>
          <wp:extent cx="1443990" cy="508000"/>
          <wp:effectExtent l="0" t="0" r="3810" b="6350"/>
          <wp:wrapNone/>
          <wp:docPr id="4" name="Picture 4" descr="http://infonet/images/Logos/COG_Logo_Black_300dpi_11inches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fonet/images/Logos/COG_Logo_Black_300dpi_11inches_wid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/>
        <w:b/>
        <w:smallCaps/>
      </w:rPr>
      <w:t>Corporate</w:t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  <w:t>Policy No.</w:t>
    </w:r>
    <w:r>
      <w:rPr>
        <w:rFonts w:ascii="Tahoma" w:hAnsi="Tahoma"/>
        <w:b/>
        <w:smallCaps/>
      </w:rPr>
      <w:tab/>
    </w:r>
  </w:p>
  <w:p w14:paraId="3244DC15" w14:textId="77777777" w:rsidR="000C0A28" w:rsidRDefault="000C0A28" w:rsidP="000C0A28">
    <w:pPr>
      <w:rPr>
        <w:rFonts w:ascii="Tahoma" w:hAnsi="Tahoma"/>
        <w:b/>
        <w:smallCaps/>
      </w:rPr>
    </w:pPr>
    <w:r>
      <w:rPr>
        <w:rFonts w:ascii="Tahoma" w:hAnsi="Tahoma"/>
        <w:b/>
        <w:smallCaps/>
      </w:rPr>
      <w:t>Policy and</w:t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  <w:t>Page</w:t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 w:rsidR="00FB4F2D"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</w:instrText>
    </w:r>
    <w:r w:rsidR="00FB4F2D">
      <w:rPr>
        <w:rFonts w:ascii="Tahoma" w:hAnsi="Tahoma" w:cs="Tahoma"/>
      </w:rPr>
      <w:fldChar w:fldCharType="separate"/>
    </w:r>
    <w:r w:rsidR="00A812A3">
      <w:rPr>
        <w:rFonts w:ascii="Tahoma" w:hAnsi="Tahoma" w:cs="Tahoma"/>
        <w:noProof/>
      </w:rPr>
      <w:t>1</w:t>
    </w:r>
    <w:r w:rsidR="00FB4F2D"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of </w:t>
    </w:r>
    <w:r w:rsidR="00FB4F2D"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NUMPAGES </w:instrText>
    </w:r>
    <w:r w:rsidR="00FB4F2D">
      <w:rPr>
        <w:rFonts w:ascii="Tahoma" w:hAnsi="Tahoma" w:cs="Tahoma"/>
      </w:rPr>
      <w:fldChar w:fldCharType="separate"/>
    </w:r>
    <w:r w:rsidR="00A812A3">
      <w:rPr>
        <w:rFonts w:ascii="Tahoma" w:hAnsi="Tahoma" w:cs="Tahoma"/>
        <w:noProof/>
      </w:rPr>
      <w:t>2</w:t>
    </w:r>
    <w:r w:rsidR="00FB4F2D">
      <w:rPr>
        <w:rFonts w:ascii="Tahoma" w:hAnsi="Tahoma" w:cs="Tahoma"/>
      </w:rPr>
      <w:fldChar w:fldCharType="end"/>
    </w:r>
  </w:p>
  <w:p w14:paraId="16BBD943" w14:textId="77777777" w:rsidR="000C0A28" w:rsidRDefault="000C0A28" w:rsidP="000C0A28">
    <w:pPr>
      <w:rPr>
        <w:rFonts w:ascii="Tahoma" w:hAnsi="Tahoma"/>
        <w:b/>
        <w:smallCaps/>
      </w:rPr>
    </w:pPr>
    <w:r>
      <w:rPr>
        <w:rFonts w:ascii="Tahoma" w:hAnsi="Tahoma"/>
        <w:b/>
        <w:smallCaps/>
      </w:rPr>
      <w:t>Procedure</w:t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  <w:t>Effective Date</w:t>
    </w:r>
    <w:r>
      <w:rPr>
        <w:rFonts w:ascii="Tahoma" w:hAnsi="Tahoma"/>
        <w:b/>
        <w:smallCaps/>
      </w:rPr>
      <w:tab/>
    </w:r>
  </w:p>
  <w:p w14:paraId="3F8AABB1" w14:textId="77777777" w:rsidR="0075058F" w:rsidRDefault="000C0A28" w:rsidP="000C0A28">
    <w:pPr>
      <w:rPr>
        <w:rFonts w:ascii="Tahoma" w:hAnsi="Tahoma"/>
        <w:b/>
        <w:smallCaps/>
      </w:rPr>
    </w:pP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</w:r>
    <w:r>
      <w:rPr>
        <w:rFonts w:ascii="Tahoma" w:hAnsi="Tahoma"/>
        <w:b/>
        <w:smallCaps/>
      </w:rPr>
      <w:tab/>
      <w:t>Revision</w:t>
    </w:r>
  </w:p>
  <w:p w14:paraId="45E982A9" w14:textId="77777777" w:rsidR="000C0A28" w:rsidRDefault="000C0A28" w:rsidP="000C0A28">
    <w:pPr>
      <w:tabs>
        <w:tab w:val="left" w:pos="2700"/>
      </w:tabs>
      <w:ind w:left="709" w:firstLine="731"/>
      <w:outlineLvl w:val="2"/>
      <w:rPr>
        <w:rFonts w:ascii="Arial" w:hAnsi="Arial" w:cs="Arial"/>
        <w:b/>
        <w:caps/>
        <w:szCs w:val="24"/>
      </w:rPr>
    </w:pPr>
  </w:p>
  <w:p w14:paraId="2A4673AC" w14:textId="77777777" w:rsidR="000C0A28" w:rsidRPr="00152EDE" w:rsidRDefault="000574FD" w:rsidP="000C0A28">
    <w:pPr>
      <w:tabs>
        <w:tab w:val="left" w:pos="2700"/>
      </w:tabs>
      <w:ind w:left="709" w:firstLine="731"/>
      <w:outlineLvl w:val="2"/>
      <w:rPr>
        <w:rFonts w:ascii="Arial" w:hAnsi="Arial" w:cs="Arial"/>
        <w:b/>
        <w:caps/>
        <w:szCs w:val="24"/>
      </w:rPr>
    </w:pPr>
    <w:r>
      <w:rPr>
        <w:rFonts w:ascii="Arial" w:hAnsi="Arial" w:cs="Arial"/>
        <w:b/>
        <w:caps/>
        <w:szCs w:val="24"/>
      </w:rPr>
      <w:t>APPENDIX 4</w:t>
    </w:r>
    <w:r w:rsidR="000C0A28" w:rsidRPr="00152EDE">
      <w:rPr>
        <w:rFonts w:ascii="Arial" w:hAnsi="Arial" w:cs="Arial"/>
        <w:b/>
        <w:caps/>
        <w:szCs w:val="24"/>
      </w:rPr>
      <w:t>: CONTRACTOR Situation Identification chart</w:t>
    </w:r>
  </w:p>
  <w:p w14:paraId="6BD06500" w14:textId="77777777" w:rsidR="0075058F" w:rsidRDefault="0075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46D4"/>
    <w:multiLevelType w:val="hybridMultilevel"/>
    <w:tmpl w:val="9A344DBC"/>
    <w:lvl w:ilvl="0" w:tplc="E5D4B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8A"/>
    <w:multiLevelType w:val="hybridMultilevel"/>
    <w:tmpl w:val="605866BE"/>
    <w:lvl w:ilvl="0" w:tplc="E5D4B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006"/>
    <w:multiLevelType w:val="hybridMultilevel"/>
    <w:tmpl w:val="46D6D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048F"/>
    <w:multiLevelType w:val="hybridMultilevel"/>
    <w:tmpl w:val="2F36B94C"/>
    <w:lvl w:ilvl="0" w:tplc="E5D4B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A4C16"/>
    <w:multiLevelType w:val="hybridMultilevel"/>
    <w:tmpl w:val="645EC4CA"/>
    <w:lvl w:ilvl="0" w:tplc="E5D4B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5DB8"/>
    <w:multiLevelType w:val="hybridMultilevel"/>
    <w:tmpl w:val="42F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5210"/>
    <w:multiLevelType w:val="hybridMultilevel"/>
    <w:tmpl w:val="9EA22242"/>
    <w:lvl w:ilvl="0" w:tplc="E5D4B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08F"/>
    <w:rsid w:val="000008ED"/>
    <w:rsid w:val="000301CE"/>
    <w:rsid w:val="000574FD"/>
    <w:rsid w:val="000C0A28"/>
    <w:rsid w:val="00132A25"/>
    <w:rsid w:val="00152EDE"/>
    <w:rsid w:val="00187B36"/>
    <w:rsid w:val="00227536"/>
    <w:rsid w:val="00263707"/>
    <w:rsid w:val="00275A84"/>
    <w:rsid w:val="003235F4"/>
    <w:rsid w:val="003C1B63"/>
    <w:rsid w:val="004117DC"/>
    <w:rsid w:val="004122C1"/>
    <w:rsid w:val="00463F64"/>
    <w:rsid w:val="00464DD6"/>
    <w:rsid w:val="004E7DB3"/>
    <w:rsid w:val="005E543E"/>
    <w:rsid w:val="005F3AE6"/>
    <w:rsid w:val="006449CF"/>
    <w:rsid w:val="006B02B3"/>
    <w:rsid w:val="00701601"/>
    <w:rsid w:val="0075058F"/>
    <w:rsid w:val="007848C9"/>
    <w:rsid w:val="007B544A"/>
    <w:rsid w:val="007F0B2F"/>
    <w:rsid w:val="00840512"/>
    <w:rsid w:val="00847455"/>
    <w:rsid w:val="00886A09"/>
    <w:rsid w:val="008E7C5C"/>
    <w:rsid w:val="0097156C"/>
    <w:rsid w:val="009A60F1"/>
    <w:rsid w:val="00A5055B"/>
    <w:rsid w:val="00A724DE"/>
    <w:rsid w:val="00A812A3"/>
    <w:rsid w:val="00B97E76"/>
    <w:rsid w:val="00BA4914"/>
    <w:rsid w:val="00D43A3A"/>
    <w:rsid w:val="00D82AC2"/>
    <w:rsid w:val="00D966B1"/>
    <w:rsid w:val="00DD32C6"/>
    <w:rsid w:val="00E031DB"/>
    <w:rsid w:val="00E11D98"/>
    <w:rsid w:val="00E879D3"/>
    <w:rsid w:val="00EB49D3"/>
    <w:rsid w:val="00EE57F0"/>
    <w:rsid w:val="00F7008F"/>
    <w:rsid w:val="00FB4F2D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5B258F77"/>
  <w15:docId w15:val="{747C73C9-1B8A-4F63-B181-01609F54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7008F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008F"/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rsid w:val="00F7008F"/>
    <w:rPr>
      <w:rFonts w:ascii="Arial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7008F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8F"/>
  </w:style>
  <w:style w:type="paragraph" w:styleId="Footer">
    <w:name w:val="footer"/>
    <w:basedOn w:val="Normal"/>
    <w:link w:val="FooterChar"/>
    <w:uiPriority w:val="99"/>
    <w:unhideWhenUsed/>
    <w:rsid w:val="0075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8F"/>
  </w:style>
  <w:style w:type="character" w:styleId="Hyperlink">
    <w:name w:val="Hyperlink"/>
    <w:basedOn w:val="DefaultParagraphFont"/>
    <w:uiPriority w:val="99"/>
    <w:unhideWhenUsed/>
    <w:rsid w:val="002275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910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tario.ca/laws/regulation/9102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net/images/Logos/COG_Logo_Black_300dpi_11inches_wi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Safety Group</dc:creator>
  <cp:lastModifiedBy>Paul Allen</cp:lastModifiedBy>
  <cp:revision>28</cp:revision>
  <cp:lastPrinted>2018-06-14T17:18:00Z</cp:lastPrinted>
  <dcterms:created xsi:type="dcterms:W3CDTF">2014-09-10T13:54:00Z</dcterms:created>
  <dcterms:modified xsi:type="dcterms:W3CDTF">2021-12-06T19:43:00Z</dcterms:modified>
</cp:coreProperties>
</file>