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2" w:rsidRPr="00341D4F" w:rsidRDefault="00341D4F" w:rsidP="00341D4F">
      <w:pPr>
        <w:jc w:val="center"/>
        <w:rPr>
          <w:rFonts w:ascii="Arial" w:hAnsi="Arial" w:cs="Arial"/>
          <w:color w:val="000000"/>
          <w:sz w:val="24"/>
          <w:szCs w:val="24"/>
          <w:u w:val="single"/>
          <w:lang w:eastAsia="en-CA"/>
        </w:rPr>
      </w:pPr>
      <w:r w:rsidRPr="00341D4F">
        <w:rPr>
          <w:rFonts w:ascii="Arial" w:hAnsi="Arial" w:cs="Arial"/>
          <w:color w:val="000000"/>
          <w:sz w:val="24"/>
          <w:szCs w:val="24"/>
          <w:u w:val="single"/>
          <w:lang w:eastAsia="en-CA"/>
        </w:rPr>
        <w:t>Changes to the Ontario Drug Benefit</w:t>
      </w:r>
      <w:r>
        <w:rPr>
          <w:rFonts w:ascii="Arial" w:hAnsi="Arial" w:cs="Arial"/>
          <w:color w:val="000000"/>
          <w:sz w:val="24"/>
          <w:szCs w:val="24"/>
          <w:u w:val="single"/>
          <w:lang w:eastAsia="en-CA"/>
        </w:rPr>
        <w:t xml:space="preserve"> – Effective August 1, 2016</w:t>
      </w:r>
    </w:p>
    <w:p w:rsidR="00341D4F" w:rsidRDefault="00341D4F" w:rsidP="009460D2">
      <w:pPr>
        <w:rPr>
          <w:rFonts w:ascii="Arial" w:hAnsi="Arial" w:cs="Arial"/>
          <w:color w:val="000000"/>
          <w:sz w:val="24"/>
          <w:szCs w:val="24"/>
          <w:lang w:eastAsia="en-CA"/>
        </w:rPr>
      </w:pPr>
    </w:p>
    <w:p w:rsidR="009460D2" w:rsidRDefault="009460D2" w:rsidP="009460D2">
      <w:pPr>
        <w:rPr>
          <w:rFonts w:ascii="Arial" w:hAnsi="Arial" w:cs="Arial"/>
          <w:color w:val="000000"/>
          <w:sz w:val="24"/>
          <w:szCs w:val="24"/>
          <w:lang w:eastAsia="en-CA"/>
        </w:rPr>
      </w:pPr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The Ontario government is </w:t>
      </w:r>
      <w:r w:rsidR="007F02F9">
        <w:rPr>
          <w:rFonts w:ascii="Arial" w:hAnsi="Arial" w:cs="Arial"/>
          <w:color w:val="000000"/>
          <w:sz w:val="24"/>
          <w:szCs w:val="24"/>
          <w:lang w:eastAsia="en-CA"/>
        </w:rPr>
        <w:t xml:space="preserve">introducing </w:t>
      </w:r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changes to the Ontario Drug Benefit (ODB) Program that will </w:t>
      </w:r>
      <w:r w:rsidR="007F02F9">
        <w:rPr>
          <w:rFonts w:ascii="Arial" w:hAnsi="Arial" w:cs="Arial"/>
          <w:color w:val="000000"/>
          <w:sz w:val="24"/>
          <w:szCs w:val="24"/>
          <w:lang w:eastAsia="en-CA"/>
        </w:rPr>
        <w:t xml:space="preserve">make access to drugs cheaper for </w:t>
      </w:r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more than 170,000 seniors </w:t>
      </w:r>
      <w:r w:rsidR="00CC79CF">
        <w:rPr>
          <w:rFonts w:ascii="Arial" w:hAnsi="Arial" w:cs="Arial"/>
          <w:color w:val="000000"/>
          <w:sz w:val="24"/>
          <w:szCs w:val="24"/>
          <w:lang w:eastAsia="en-CA"/>
        </w:rPr>
        <w:t xml:space="preserve">(65 years old and beyond) </w:t>
      </w:r>
      <w:r w:rsidR="007F02F9">
        <w:rPr>
          <w:rFonts w:ascii="Arial" w:hAnsi="Arial" w:cs="Arial"/>
          <w:color w:val="000000"/>
          <w:sz w:val="24"/>
          <w:szCs w:val="24"/>
          <w:lang w:eastAsia="en-CA"/>
        </w:rPr>
        <w:t>based on new eligibility thresholds</w:t>
      </w:r>
      <w:r>
        <w:rPr>
          <w:rFonts w:ascii="Arial" w:hAnsi="Arial" w:cs="Arial"/>
          <w:color w:val="000000"/>
          <w:sz w:val="24"/>
          <w:szCs w:val="24"/>
          <w:lang w:eastAsia="en-CA"/>
        </w:rPr>
        <w:t>.</w:t>
      </w:r>
    </w:p>
    <w:p w:rsidR="009460D2" w:rsidRDefault="009460D2" w:rsidP="009460D2">
      <w:pPr>
        <w:rPr>
          <w:rFonts w:ascii="Arial" w:hAnsi="Arial" w:cs="Arial"/>
          <w:color w:val="000000"/>
          <w:sz w:val="24"/>
          <w:szCs w:val="24"/>
          <w:lang w:eastAsia="en-CA"/>
        </w:rPr>
      </w:pPr>
    </w:p>
    <w:p w:rsidR="009460D2" w:rsidRDefault="009460D2" w:rsidP="009460D2">
      <w:pPr>
        <w:rPr>
          <w:rFonts w:ascii="Arial" w:hAnsi="Arial" w:cs="Arial"/>
          <w:color w:val="000000"/>
          <w:sz w:val="24"/>
          <w:szCs w:val="24"/>
          <w:lang w:eastAsia="en-CA"/>
        </w:rPr>
      </w:pPr>
      <w:r>
        <w:rPr>
          <w:rFonts w:ascii="Arial" w:hAnsi="Arial" w:cs="Arial"/>
          <w:color w:val="000000"/>
          <w:sz w:val="24"/>
          <w:szCs w:val="24"/>
          <w:lang w:eastAsia="en-CA"/>
        </w:rPr>
        <w:t>Starting August 1, 2016, the government will change the income thresholds required to qualify for the low-income seniors benefit, called the Seniors Co-Payment Program</w:t>
      </w:r>
      <w:r w:rsidR="001712EE">
        <w:rPr>
          <w:rFonts w:ascii="Arial" w:hAnsi="Arial" w:cs="Arial"/>
          <w:color w:val="000000"/>
          <w:sz w:val="24"/>
          <w:szCs w:val="24"/>
          <w:lang w:eastAsia="en-CA"/>
        </w:rPr>
        <w:t>, as follows</w:t>
      </w:r>
      <w:r>
        <w:rPr>
          <w:rFonts w:ascii="Arial" w:hAnsi="Arial" w:cs="Arial"/>
          <w:color w:val="000000"/>
          <w:sz w:val="24"/>
          <w:szCs w:val="24"/>
          <w:lang w:eastAsia="en-CA"/>
        </w:rPr>
        <w:t>:</w:t>
      </w:r>
      <w:r w:rsidR="00341D4F">
        <w:rPr>
          <w:rFonts w:ascii="Arial" w:hAnsi="Arial" w:cs="Arial"/>
          <w:color w:val="000000"/>
          <w:sz w:val="24"/>
          <w:szCs w:val="24"/>
          <w:lang w:eastAsia="en-CA"/>
        </w:rPr>
        <w:t xml:space="preserve"> </w:t>
      </w:r>
    </w:p>
    <w:p w:rsidR="009460D2" w:rsidRDefault="009460D2" w:rsidP="009460D2">
      <w:pPr>
        <w:rPr>
          <w:rFonts w:ascii="Arial" w:hAnsi="Arial" w:cs="Arial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41D4F" w:rsidTr="002270BE">
        <w:tc>
          <w:tcPr>
            <w:tcW w:w="9576" w:type="dxa"/>
            <w:gridSpan w:val="3"/>
          </w:tcPr>
          <w:p w:rsidR="00341D4F" w:rsidRPr="00341D4F" w:rsidRDefault="00341D4F" w:rsidP="00341D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Senior Co-Payment Program</w:t>
            </w:r>
          </w:p>
        </w:tc>
      </w:tr>
      <w:tr w:rsidR="009460D2" w:rsidTr="00341D4F">
        <w:tc>
          <w:tcPr>
            <w:tcW w:w="3192" w:type="dxa"/>
          </w:tcPr>
          <w:p w:rsidR="009460D2" w:rsidRDefault="009460D2" w:rsidP="009460D2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  <w:p w:rsidR="00341D4F" w:rsidRDefault="00341D4F" w:rsidP="009460D2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  <w:vAlign w:val="center"/>
          </w:tcPr>
          <w:p w:rsidR="009460D2" w:rsidRPr="00341D4F" w:rsidRDefault="00341D4F" w:rsidP="00341D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341D4F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SINGLE SENIOR</w:t>
            </w:r>
          </w:p>
        </w:tc>
        <w:tc>
          <w:tcPr>
            <w:tcW w:w="3192" w:type="dxa"/>
            <w:vAlign w:val="center"/>
          </w:tcPr>
          <w:p w:rsidR="00341D4F" w:rsidRPr="00341D4F" w:rsidRDefault="00341D4F" w:rsidP="00341D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  <w:p w:rsidR="009460D2" w:rsidRPr="00341D4F" w:rsidRDefault="00341D4F" w:rsidP="00341D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341D4F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SENIOR COUPLES</w:t>
            </w:r>
          </w:p>
          <w:p w:rsidR="00341D4F" w:rsidRPr="00341D4F" w:rsidRDefault="00341D4F" w:rsidP="00341D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9460D2" w:rsidTr="009460D2">
        <w:tc>
          <w:tcPr>
            <w:tcW w:w="3192" w:type="dxa"/>
          </w:tcPr>
          <w:p w:rsidR="009460D2" w:rsidRPr="00341D4F" w:rsidRDefault="009460D2" w:rsidP="009460D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41D4F">
              <w:rPr>
                <w:rFonts w:ascii="Arial" w:hAnsi="Arial" w:cs="Arial"/>
                <w:b/>
                <w:color w:val="000000"/>
                <w:sz w:val="24"/>
                <w:szCs w:val="24"/>
                <w:lang w:eastAsia="en-CA"/>
              </w:rPr>
              <w:t>New income-threshold</w:t>
            </w:r>
            <w:r w:rsidR="00F75679">
              <w:rPr>
                <w:rFonts w:ascii="Arial" w:hAnsi="Arial" w:cs="Arial"/>
                <w:b/>
                <w:color w:val="000000"/>
                <w:sz w:val="24"/>
                <w:szCs w:val="24"/>
                <w:lang w:eastAsia="en-CA"/>
              </w:rPr>
              <w:t xml:space="preserve"> effective August 1, 2016</w:t>
            </w:r>
          </w:p>
        </w:tc>
        <w:tc>
          <w:tcPr>
            <w:tcW w:w="3192" w:type="dxa"/>
          </w:tcPr>
          <w:p w:rsidR="009460D2" w:rsidRPr="00341D4F" w:rsidRDefault="00341D4F" w:rsidP="009460D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41D4F">
              <w:rPr>
                <w:rFonts w:ascii="Arial" w:hAnsi="Arial" w:cs="Arial"/>
                <w:b/>
                <w:color w:val="000000"/>
                <w:sz w:val="24"/>
                <w:szCs w:val="24"/>
                <w:lang w:eastAsia="en-CA"/>
              </w:rPr>
              <w:t xml:space="preserve">Less than or equal to </w:t>
            </w:r>
            <w:r w:rsidRPr="00341D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$19,300</w:t>
            </w:r>
          </w:p>
        </w:tc>
        <w:tc>
          <w:tcPr>
            <w:tcW w:w="3192" w:type="dxa"/>
          </w:tcPr>
          <w:p w:rsidR="009460D2" w:rsidRPr="00341D4F" w:rsidRDefault="00341D4F" w:rsidP="009460D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41D4F">
              <w:rPr>
                <w:rFonts w:ascii="Arial" w:hAnsi="Arial" w:cs="Arial"/>
                <w:b/>
                <w:color w:val="000000"/>
                <w:sz w:val="24"/>
                <w:szCs w:val="24"/>
                <w:lang w:eastAsia="en-CA"/>
              </w:rPr>
              <w:t xml:space="preserve">Less than or equal to </w:t>
            </w:r>
            <w:r w:rsidRPr="00341D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$32,300</w:t>
            </w:r>
          </w:p>
          <w:p w:rsidR="00341D4F" w:rsidRPr="00341D4F" w:rsidRDefault="00341D4F" w:rsidP="009460D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341D4F" w:rsidTr="009460D2">
        <w:tc>
          <w:tcPr>
            <w:tcW w:w="3192" w:type="dxa"/>
          </w:tcPr>
          <w:p w:rsidR="00341D4F" w:rsidRDefault="00EA2BE0" w:rsidP="009460D2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 xml:space="preserve">Current </w:t>
            </w:r>
            <w:r w:rsidR="00341D4F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income threshold</w:t>
            </w:r>
          </w:p>
        </w:tc>
        <w:tc>
          <w:tcPr>
            <w:tcW w:w="3192" w:type="dxa"/>
          </w:tcPr>
          <w:p w:rsidR="00341D4F" w:rsidRDefault="00341D4F" w:rsidP="009460D2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Less than or equal to $16,018</w:t>
            </w:r>
          </w:p>
          <w:p w:rsidR="00341D4F" w:rsidRDefault="00341D4F" w:rsidP="009460D2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192" w:type="dxa"/>
          </w:tcPr>
          <w:p w:rsidR="00341D4F" w:rsidRDefault="00341D4F" w:rsidP="009460D2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Less than or equal to $24,175</w:t>
            </w:r>
          </w:p>
        </w:tc>
      </w:tr>
    </w:tbl>
    <w:p w:rsidR="009460D2" w:rsidRDefault="009460D2" w:rsidP="009460D2">
      <w:pPr>
        <w:rPr>
          <w:color w:val="000000"/>
          <w:lang w:eastAsia="en-CA"/>
        </w:rPr>
      </w:pPr>
    </w:p>
    <w:p w:rsidR="00F75679" w:rsidRDefault="00F75679" w:rsidP="009460D2">
      <w:pPr>
        <w:rPr>
          <w:rFonts w:ascii="Arial" w:hAnsi="Arial" w:cs="Arial"/>
          <w:color w:val="000000"/>
          <w:sz w:val="24"/>
          <w:szCs w:val="24"/>
          <w:lang w:eastAsia="en-CA"/>
        </w:rPr>
      </w:pPr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Seniors enrolled in the </w:t>
      </w:r>
      <w:bookmarkStart w:id="0" w:name="_GoBack"/>
      <w:r>
        <w:rPr>
          <w:rFonts w:ascii="Arial" w:hAnsi="Arial" w:cs="Arial"/>
          <w:color w:val="000000"/>
          <w:sz w:val="24"/>
          <w:szCs w:val="24"/>
          <w:lang w:eastAsia="en-CA"/>
        </w:rPr>
        <w:t>Senior</w:t>
      </w:r>
      <w:r w:rsidR="00E70812">
        <w:rPr>
          <w:rFonts w:ascii="Arial" w:hAnsi="Arial" w:cs="Arial"/>
          <w:color w:val="000000"/>
          <w:sz w:val="24"/>
          <w:szCs w:val="24"/>
          <w:lang w:eastAsia="en-CA"/>
        </w:rPr>
        <w:t>s</w:t>
      </w:r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 Co-Payment Program </w:t>
      </w:r>
      <w:bookmarkEnd w:id="0"/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pay no </w:t>
      </w:r>
      <w:r w:rsidR="00EC255C">
        <w:rPr>
          <w:rFonts w:ascii="Arial" w:hAnsi="Arial" w:cs="Arial"/>
          <w:color w:val="000000"/>
          <w:sz w:val="24"/>
          <w:szCs w:val="24"/>
          <w:lang w:eastAsia="en-CA"/>
        </w:rPr>
        <w:t xml:space="preserve">annual </w:t>
      </w:r>
      <w:r>
        <w:rPr>
          <w:rFonts w:ascii="Arial" w:hAnsi="Arial" w:cs="Arial"/>
          <w:color w:val="000000"/>
          <w:sz w:val="24"/>
          <w:szCs w:val="24"/>
          <w:lang w:eastAsia="en-CA"/>
        </w:rPr>
        <w:t>deductible</w:t>
      </w:r>
      <w:r w:rsidR="00EC255C">
        <w:rPr>
          <w:rFonts w:ascii="Arial" w:hAnsi="Arial" w:cs="Arial"/>
          <w:color w:val="000000"/>
          <w:sz w:val="24"/>
          <w:szCs w:val="24"/>
          <w:lang w:eastAsia="en-CA"/>
        </w:rPr>
        <w:t xml:space="preserve"> and only pay</w:t>
      </w:r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 a $2 co-payment </w:t>
      </w:r>
      <w:r w:rsidR="00EC255C">
        <w:rPr>
          <w:rFonts w:ascii="Arial" w:hAnsi="Arial" w:cs="Arial"/>
          <w:color w:val="000000"/>
          <w:sz w:val="24"/>
          <w:szCs w:val="24"/>
          <w:lang w:eastAsia="en-CA"/>
        </w:rPr>
        <w:t xml:space="preserve">fee per </w:t>
      </w:r>
      <w:r>
        <w:rPr>
          <w:rFonts w:ascii="Arial" w:hAnsi="Arial" w:cs="Arial"/>
          <w:color w:val="000000"/>
          <w:sz w:val="24"/>
          <w:szCs w:val="24"/>
          <w:lang w:eastAsia="en-CA"/>
        </w:rPr>
        <w:t>prescription and save approximately $130 a year in out-of-pocket drug costs.</w:t>
      </w:r>
    </w:p>
    <w:p w:rsidR="00EA2BE0" w:rsidRDefault="00EA2BE0" w:rsidP="009460D2">
      <w:pPr>
        <w:rPr>
          <w:rFonts w:ascii="Arial" w:hAnsi="Arial" w:cs="Arial"/>
          <w:color w:val="000000"/>
          <w:sz w:val="24"/>
          <w:szCs w:val="24"/>
          <w:lang w:eastAsia="en-CA"/>
        </w:rPr>
      </w:pPr>
    </w:p>
    <w:p w:rsidR="00EA2BE0" w:rsidRPr="00EA4437" w:rsidRDefault="00EA2BE0" w:rsidP="00EA4437">
      <w:pPr>
        <w:rPr>
          <w:rFonts w:ascii="Arial" w:hAnsi="Arial" w:cs="Arial"/>
          <w:b/>
          <w:color w:val="000000"/>
          <w:sz w:val="24"/>
          <w:szCs w:val="24"/>
          <w:u w:val="single"/>
          <w:lang w:eastAsia="en-CA"/>
        </w:rPr>
      </w:pPr>
      <w:r w:rsidRPr="00EA4437">
        <w:rPr>
          <w:rFonts w:ascii="Arial" w:hAnsi="Arial" w:cs="Arial"/>
          <w:b/>
          <w:color w:val="000000"/>
          <w:sz w:val="24"/>
          <w:szCs w:val="24"/>
          <w:u w:val="single"/>
          <w:lang w:eastAsia="en-CA"/>
        </w:rPr>
        <w:t>How to Apply for the Seniors Co-Payment Program</w:t>
      </w:r>
    </w:p>
    <w:p w:rsidR="00901ACD" w:rsidRDefault="00901ACD" w:rsidP="00EA4437">
      <w:pPr>
        <w:rPr>
          <w:rFonts w:ascii="Arial" w:hAnsi="Arial" w:cs="Arial"/>
          <w:color w:val="000000"/>
          <w:sz w:val="24"/>
          <w:szCs w:val="24"/>
          <w:lang w:eastAsia="en-CA"/>
        </w:rPr>
      </w:pPr>
    </w:p>
    <w:p w:rsidR="00EC255C" w:rsidRDefault="00EA2BE0" w:rsidP="00EA4437">
      <w:pPr>
        <w:rPr>
          <w:rFonts w:ascii="Arial" w:hAnsi="Arial" w:cs="Arial"/>
          <w:color w:val="000000"/>
          <w:sz w:val="24"/>
          <w:szCs w:val="24"/>
          <w:lang w:eastAsia="en-CA"/>
        </w:rPr>
      </w:pP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 xml:space="preserve">Complete a Co-payment Application for </w:t>
      </w:r>
      <w:proofErr w:type="gramStart"/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>Seniors</w:t>
      </w:r>
      <w:proofErr w:type="gramEnd"/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 xml:space="preserve"> form and send it to the Ministry of Health and Long-Term Care.</w:t>
      </w:r>
    </w:p>
    <w:p w:rsidR="00EC255C" w:rsidRDefault="00EC255C" w:rsidP="00EA4437">
      <w:pPr>
        <w:rPr>
          <w:rFonts w:ascii="Arial" w:hAnsi="Arial" w:cs="Arial"/>
          <w:color w:val="000000"/>
          <w:sz w:val="24"/>
          <w:szCs w:val="24"/>
          <w:lang w:eastAsia="en-CA"/>
        </w:rPr>
      </w:pPr>
    </w:p>
    <w:p w:rsidR="00EA2BE0" w:rsidRPr="00EA4437" w:rsidRDefault="00EA2BE0" w:rsidP="00EA4437">
      <w:pPr>
        <w:rPr>
          <w:rFonts w:ascii="Arial" w:hAnsi="Arial" w:cs="Arial"/>
          <w:color w:val="000000"/>
          <w:sz w:val="24"/>
          <w:szCs w:val="24"/>
          <w:lang w:eastAsia="en-CA"/>
        </w:rPr>
      </w:pP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 xml:space="preserve">It takes time to process an application, so we encourage eligible seniors to send </w:t>
      </w:r>
      <w:r w:rsidR="00EC255C">
        <w:rPr>
          <w:rFonts w:ascii="Arial" w:hAnsi="Arial" w:cs="Arial"/>
          <w:color w:val="000000"/>
          <w:sz w:val="24"/>
          <w:szCs w:val="24"/>
          <w:lang w:eastAsia="en-CA"/>
        </w:rPr>
        <w:t xml:space="preserve">in their form </w:t>
      </w: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>before July 1, 2016</w:t>
      </w:r>
      <w:r w:rsidR="00EC255C">
        <w:rPr>
          <w:rFonts w:ascii="Arial" w:hAnsi="Arial" w:cs="Arial"/>
          <w:color w:val="000000"/>
          <w:sz w:val="24"/>
          <w:szCs w:val="24"/>
          <w:lang w:eastAsia="en-CA"/>
        </w:rPr>
        <w:t xml:space="preserve">, i.e. </w:t>
      </w: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>one month before the program</w:t>
      </w:r>
      <w:r w:rsidR="00EC255C">
        <w:rPr>
          <w:rFonts w:ascii="Arial" w:hAnsi="Arial" w:cs="Arial"/>
          <w:color w:val="000000"/>
          <w:sz w:val="24"/>
          <w:szCs w:val="24"/>
          <w:lang w:eastAsia="en-CA"/>
        </w:rPr>
        <w:t>’s</w:t>
      </w: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 xml:space="preserve"> </w:t>
      </w:r>
      <w:r w:rsidR="00EC255C">
        <w:rPr>
          <w:rFonts w:ascii="Arial" w:hAnsi="Arial" w:cs="Arial"/>
          <w:color w:val="000000"/>
          <w:sz w:val="24"/>
          <w:szCs w:val="24"/>
          <w:lang w:eastAsia="en-CA"/>
        </w:rPr>
        <w:t xml:space="preserve">yearly </w:t>
      </w: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 xml:space="preserve">start date of August 1, 2016. </w:t>
      </w:r>
    </w:p>
    <w:p w:rsidR="00EA2BE0" w:rsidRPr="00EA4437" w:rsidRDefault="00EA2BE0" w:rsidP="00EA2BE0">
      <w:pPr>
        <w:rPr>
          <w:rFonts w:ascii="Arial" w:hAnsi="Arial" w:cs="Arial"/>
          <w:color w:val="000000"/>
          <w:sz w:val="24"/>
          <w:szCs w:val="24"/>
          <w:lang w:eastAsia="en-CA"/>
        </w:rPr>
      </w:pPr>
    </w:p>
    <w:p w:rsidR="00EA2BE0" w:rsidRPr="00EA4437" w:rsidRDefault="00EA2BE0" w:rsidP="00EA4437">
      <w:pPr>
        <w:rPr>
          <w:rFonts w:ascii="Arial" w:hAnsi="Arial" w:cs="Arial"/>
          <w:color w:val="000000"/>
          <w:sz w:val="24"/>
          <w:szCs w:val="24"/>
          <w:lang w:eastAsia="en-CA"/>
        </w:rPr>
      </w:pP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 xml:space="preserve">Applications can be found: </w:t>
      </w:r>
    </w:p>
    <w:p w:rsidR="00EA2BE0" w:rsidRPr="00EA4437" w:rsidRDefault="00EC255C" w:rsidP="00EA443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eastAsia="en-CA"/>
        </w:rPr>
      </w:pPr>
      <w:r>
        <w:rPr>
          <w:rFonts w:ascii="Arial" w:hAnsi="Arial" w:cs="Arial"/>
          <w:color w:val="000000"/>
          <w:sz w:val="24"/>
          <w:szCs w:val="24"/>
          <w:lang w:eastAsia="en-CA"/>
        </w:rPr>
        <w:t>At m</w:t>
      </w:r>
      <w:r w:rsidR="00EA2BE0" w:rsidRPr="00EA4437">
        <w:rPr>
          <w:rFonts w:ascii="Arial" w:hAnsi="Arial" w:cs="Arial"/>
          <w:color w:val="000000"/>
          <w:sz w:val="24"/>
          <w:szCs w:val="24"/>
          <w:lang w:eastAsia="en-CA"/>
        </w:rPr>
        <w:t>ost Ontario pharmacies and all MPP Offices;</w:t>
      </w:r>
    </w:p>
    <w:p w:rsidR="00EA2BE0" w:rsidRPr="00EA4437" w:rsidRDefault="00EA2BE0" w:rsidP="00EA443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eastAsia="en-CA"/>
        </w:rPr>
      </w:pP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>On the Ministry of Health &amp; Long-Term Care website:</w:t>
      </w:r>
    </w:p>
    <w:p w:rsidR="00EA2BE0" w:rsidRPr="00EA4437" w:rsidRDefault="00E70812" w:rsidP="00EA4437">
      <w:pPr>
        <w:pStyle w:val="ListParagraph"/>
        <w:rPr>
          <w:rStyle w:val="Hyperlink"/>
          <w:rFonts w:ascii="Arial" w:eastAsia="Times New Roman" w:hAnsi="Arial" w:cs="Arial"/>
        </w:rPr>
      </w:pPr>
      <w:hyperlink r:id="rId6" w:tgtFrame="_blank" w:history="1">
        <w:r w:rsidR="00EA2BE0" w:rsidRPr="00EA4437">
          <w:rPr>
            <w:rStyle w:val="Hyperlink"/>
            <w:rFonts w:ascii="Arial" w:eastAsia="Times New Roman" w:hAnsi="Arial" w:cs="Arial"/>
          </w:rPr>
          <w:t>http://www.health.gov.on.ca/en/public/programs/drugs/programs/odb/opdp_after65.aspx</w:t>
        </w:r>
      </w:hyperlink>
    </w:p>
    <w:p w:rsidR="00EA2BE0" w:rsidRPr="00EA4437" w:rsidRDefault="00EA2BE0" w:rsidP="00EA4437">
      <w:pPr>
        <w:pStyle w:val="ListParagraph"/>
        <w:rPr>
          <w:rFonts w:ascii="Arial" w:hAnsi="Arial" w:cs="Arial"/>
          <w:color w:val="000000"/>
          <w:sz w:val="24"/>
          <w:szCs w:val="24"/>
          <w:lang w:eastAsia="en-CA"/>
        </w:rPr>
      </w:pPr>
      <w:r w:rsidRPr="00EA4437">
        <w:rPr>
          <w:rFonts w:ascii="Arial" w:hAnsi="Arial" w:cs="Arial"/>
          <w:color w:val="000000"/>
          <w:sz w:val="24"/>
          <w:szCs w:val="24"/>
          <w:lang w:eastAsia="en-CA"/>
        </w:rPr>
        <w:t xml:space="preserve"> </w:t>
      </w:r>
      <w:r w:rsidRPr="00EA4437">
        <w:rPr>
          <w:rFonts w:ascii="Arial" w:hAnsi="Arial" w:cs="Arial"/>
          <w:b/>
          <w:color w:val="000000"/>
          <w:sz w:val="24"/>
          <w:szCs w:val="24"/>
          <w:lang w:eastAsia="en-CA"/>
        </w:rPr>
        <w:t>OR</w:t>
      </w:r>
    </w:p>
    <w:p w:rsidR="00EA2BE0" w:rsidRPr="00EA4437" w:rsidRDefault="00EC255C" w:rsidP="00EA443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eastAsia="en-CA"/>
        </w:rPr>
      </w:pPr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By calling </w:t>
      </w:r>
      <w:r w:rsidR="00EA2BE0" w:rsidRPr="00EA4437">
        <w:rPr>
          <w:rFonts w:ascii="Arial" w:hAnsi="Arial" w:cs="Arial"/>
          <w:color w:val="000000"/>
          <w:sz w:val="24"/>
          <w:szCs w:val="24"/>
          <w:lang w:eastAsia="en-CA"/>
        </w:rPr>
        <w:t>the Seniors Co-Payment Program at 1-888-405-0405; or 416-503-4586 in Toronto</w:t>
      </w:r>
    </w:p>
    <w:p w:rsidR="009A293B" w:rsidRDefault="009A293B"/>
    <w:p w:rsidR="00DD57D8" w:rsidRPr="00DD57D8" w:rsidRDefault="00DD57D8">
      <w:pPr>
        <w:rPr>
          <w:rFonts w:ascii="Arial" w:hAnsi="Arial" w:cs="Arial"/>
          <w:color w:val="000000"/>
          <w:sz w:val="24"/>
          <w:szCs w:val="24"/>
          <w:lang w:eastAsia="en-CA"/>
        </w:rPr>
      </w:pPr>
      <w:r w:rsidRPr="00DD57D8">
        <w:rPr>
          <w:rFonts w:ascii="Arial" w:hAnsi="Arial" w:cs="Arial"/>
          <w:color w:val="000000"/>
          <w:sz w:val="24"/>
          <w:szCs w:val="24"/>
          <w:lang w:eastAsia="en-CA"/>
        </w:rPr>
        <w:t>Forms have also been sent to retirement homes and elderly persons’ centres.</w:t>
      </w:r>
    </w:p>
    <w:sectPr w:rsidR="00DD57D8" w:rsidRPr="00DD5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95E"/>
    <w:multiLevelType w:val="hybridMultilevel"/>
    <w:tmpl w:val="1F44B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380"/>
    <w:multiLevelType w:val="hybridMultilevel"/>
    <w:tmpl w:val="555E8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2"/>
    <w:rsid w:val="001712EE"/>
    <w:rsid w:val="00341D4F"/>
    <w:rsid w:val="007F02F9"/>
    <w:rsid w:val="00901ACD"/>
    <w:rsid w:val="009460D2"/>
    <w:rsid w:val="009A293B"/>
    <w:rsid w:val="00A401CC"/>
    <w:rsid w:val="00CC79CF"/>
    <w:rsid w:val="00DC572E"/>
    <w:rsid w:val="00DD57D8"/>
    <w:rsid w:val="00E70812"/>
    <w:rsid w:val="00EA2BE0"/>
    <w:rsid w:val="00EA4437"/>
    <w:rsid w:val="00EC255C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0D2"/>
    <w:rPr>
      <w:color w:val="0000FF"/>
      <w:u w:val="single"/>
    </w:rPr>
  </w:style>
  <w:style w:type="table" w:styleId="TableGrid">
    <w:name w:val="Table Grid"/>
    <w:basedOn w:val="TableNormal"/>
    <w:uiPriority w:val="59"/>
    <w:rsid w:val="0094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B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2B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0D2"/>
    <w:rPr>
      <w:color w:val="0000FF"/>
      <w:u w:val="single"/>
    </w:rPr>
  </w:style>
  <w:style w:type="table" w:styleId="TableGrid">
    <w:name w:val="Table Grid"/>
    <w:basedOn w:val="TableNormal"/>
    <w:uiPriority w:val="59"/>
    <w:rsid w:val="0094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B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2B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gov.on.ca/en/public/programs/drugs/programs/odb/opdp_after65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Magennis, Shannon (MOHLTC)</dc:creator>
  <cp:lastModifiedBy>Klein, Melusine (MCIIT)</cp:lastModifiedBy>
  <cp:revision>4</cp:revision>
  <dcterms:created xsi:type="dcterms:W3CDTF">2016-06-10T17:29:00Z</dcterms:created>
  <dcterms:modified xsi:type="dcterms:W3CDTF">2016-06-10T17:34:00Z</dcterms:modified>
</cp:coreProperties>
</file>